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62" w:rsidRDefault="00EE5962" w:rsidP="00EE5962"/>
    <w:p w:rsidR="00EE5962" w:rsidRDefault="00EE5962" w:rsidP="00EE5962">
      <w:pPr>
        <w:jc w:val="center"/>
        <w:rPr>
          <w:b/>
        </w:rPr>
      </w:pPr>
      <w:r>
        <w:rPr>
          <w:b/>
        </w:rPr>
        <w:t>ADATKEZELÉSI TÁJÉKOZTATÓ</w:t>
      </w:r>
    </w:p>
    <w:p w:rsidR="00EE5962" w:rsidRDefault="00EE5962" w:rsidP="00EE5962"/>
    <w:p w:rsidR="00EE5962" w:rsidRDefault="00EE5962" w:rsidP="00EE5962"/>
    <w:tbl>
      <w:tblPr>
        <w:tblW w:w="91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6882"/>
      </w:tblGrid>
      <w:tr w:rsidR="00885A96" w:rsidRPr="00CF26D7" w:rsidTr="00411E7D">
        <w:tc>
          <w:tcPr>
            <w:tcW w:w="2300" w:type="dxa"/>
            <w:tcBorders>
              <w:top w:val="single" w:sz="4" w:space="0" w:color="auto"/>
              <w:left w:val="single" w:sz="4" w:space="0" w:color="auto"/>
              <w:bottom w:val="single" w:sz="4" w:space="0" w:color="auto"/>
              <w:right w:val="single" w:sz="4" w:space="0" w:color="auto"/>
            </w:tcBorders>
            <w:shd w:val="clear" w:color="auto" w:fill="auto"/>
          </w:tcPr>
          <w:p w:rsidR="00885A96" w:rsidRPr="0029427F" w:rsidRDefault="00885A96" w:rsidP="00411E7D">
            <w:pPr>
              <w:autoSpaceDE w:val="0"/>
              <w:autoSpaceDN w:val="0"/>
              <w:adjustRightInd w:val="0"/>
              <w:jc w:val="both"/>
              <w:rPr>
                <w:b/>
              </w:rPr>
            </w:pPr>
            <w:r>
              <w:rPr>
                <w:b/>
              </w:rPr>
              <w:t>Adatkezelő neve</w:t>
            </w:r>
            <w:r w:rsidRPr="0029427F">
              <w:rPr>
                <w:b/>
              </w:rPr>
              <w:t>, elérhetőség</w:t>
            </w:r>
            <w:r>
              <w:rPr>
                <w:b/>
              </w:rPr>
              <w:t>e</w:t>
            </w:r>
          </w:p>
        </w:tc>
        <w:tc>
          <w:tcPr>
            <w:tcW w:w="6882" w:type="dxa"/>
            <w:tcBorders>
              <w:top w:val="single" w:sz="4" w:space="0" w:color="auto"/>
              <w:left w:val="single" w:sz="4" w:space="0" w:color="auto"/>
              <w:bottom w:val="single" w:sz="4" w:space="0" w:color="auto"/>
              <w:right w:val="single" w:sz="4" w:space="0" w:color="auto"/>
            </w:tcBorders>
            <w:shd w:val="clear" w:color="auto" w:fill="auto"/>
          </w:tcPr>
          <w:p w:rsidR="00885A96" w:rsidRPr="00974284" w:rsidRDefault="00885A96" w:rsidP="00411E7D">
            <w:pPr>
              <w:rPr>
                <w:b/>
              </w:rPr>
            </w:pPr>
            <w:r w:rsidRPr="00974284">
              <w:rPr>
                <w:b/>
              </w:rPr>
              <w:t xml:space="preserve">Név: </w:t>
            </w:r>
            <w:r w:rsidRPr="008000A7">
              <w:rPr>
                <w:rFonts w:eastAsia="Garamond"/>
                <w:b/>
              </w:rPr>
              <w:t>Nyáregyházi Nyáry Pál Általános Iskola és Alapfokú Művészeti Iskola</w:t>
            </w:r>
          </w:p>
          <w:p w:rsidR="00885A96" w:rsidRPr="00B57CF4" w:rsidRDefault="00885A96" w:rsidP="00411E7D">
            <w:pPr>
              <w:jc w:val="both"/>
            </w:pPr>
            <w:r w:rsidRPr="00974284">
              <w:t xml:space="preserve">Székhely: </w:t>
            </w:r>
            <w:r w:rsidRPr="008000A7">
              <w:rPr>
                <w:rFonts w:eastAsia="Garamond"/>
                <w:color w:val="000000"/>
              </w:rPr>
              <w:t>2723 Nyáregyháza Nyáry Pál út 20</w:t>
            </w:r>
            <w:proofErr w:type="gramStart"/>
            <w:r w:rsidRPr="008000A7">
              <w:rPr>
                <w:rFonts w:eastAsia="Garamond"/>
                <w:color w:val="000000"/>
              </w:rPr>
              <w:t>.,</w:t>
            </w:r>
            <w:proofErr w:type="gramEnd"/>
          </w:p>
          <w:p w:rsidR="00885A96" w:rsidRPr="00974284" w:rsidRDefault="00885A96" w:rsidP="00411E7D">
            <w:pPr>
              <w:jc w:val="both"/>
              <w:rPr>
                <w:shd w:val="clear" w:color="auto" w:fill="FFFFFF"/>
              </w:rPr>
            </w:pPr>
            <w:r w:rsidRPr="00974284">
              <w:t xml:space="preserve">OM azonosító: </w:t>
            </w:r>
            <w:r w:rsidRPr="00B57CF4">
              <w:rPr>
                <w:shd w:val="clear" w:color="auto" w:fill="FFFFFF"/>
              </w:rPr>
              <w:t>2</w:t>
            </w:r>
            <w:r>
              <w:rPr>
                <w:shd w:val="clear" w:color="auto" w:fill="FFFFFF"/>
              </w:rPr>
              <w:t>0</w:t>
            </w:r>
            <w:r w:rsidRPr="00B57CF4">
              <w:rPr>
                <w:shd w:val="clear" w:color="auto" w:fill="FFFFFF"/>
              </w:rPr>
              <w:t>0</w:t>
            </w:r>
            <w:r>
              <w:rPr>
                <w:shd w:val="clear" w:color="auto" w:fill="FFFFFF"/>
              </w:rPr>
              <w:t>8</w:t>
            </w:r>
            <w:r w:rsidRPr="00B57CF4">
              <w:rPr>
                <w:shd w:val="clear" w:color="auto" w:fill="FFFFFF"/>
              </w:rPr>
              <w:t>1</w:t>
            </w:r>
            <w:r>
              <w:rPr>
                <w:shd w:val="clear" w:color="auto" w:fill="FFFFFF"/>
              </w:rPr>
              <w:t>6</w:t>
            </w:r>
          </w:p>
          <w:p w:rsidR="00885A96" w:rsidRPr="00974284" w:rsidRDefault="00885A96" w:rsidP="00411E7D">
            <w:pPr>
              <w:jc w:val="both"/>
            </w:pPr>
            <w:r w:rsidRPr="00974284">
              <w:t xml:space="preserve">Honlap: </w:t>
            </w:r>
            <w:r w:rsidRPr="00885A96">
              <w:rPr>
                <w:rStyle w:val="Hiperhivatkozs"/>
              </w:rPr>
              <w:t>https://www.nyarypaliskola.hu/</w:t>
            </w:r>
          </w:p>
          <w:p w:rsidR="00885A96" w:rsidRPr="00CF26D7" w:rsidRDefault="00885A96" w:rsidP="001A78C5">
            <w:pPr>
              <w:jc w:val="both"/>
            </w:pPr>
            <w:r w:rsidRPr="00CF26D7">
              <w:rPr>
                <w:b/>
              </w:rPr>
              <w:t>Telefon</w:t>
            </w:r>
            <w:r w:rsidRPr="00974284">
              <w:t>:</w:t>
            </w:r>
            <w:r w:rsidRPr="00974284">
              <w:rPr>
                <w:shd w:val="clear" w:color="auto" w:fill="FFFFFF"/>
              </w:rPr>
              <w:t xml:space="preserve"> </w:t>
            </w:r>
            <w:r w:rsidRPr="00B57CF4">
              <w:rPr>
                <w:shd w:val="clear" w:color="auto" w:fill="FFFFFF"/>
              </w:rPr>
              <w:t>062949</w:t>
            </w:r>
            <w:r>
              <w:rPr>
                <w:shd w:val="clear" w:color="auto" w:fill="FFFFFF"/>
              </w:rPr>
              <w:t xml:space="preserve">0017, </w:t>
            </w:r>
            <w:r w:rsidRPr="00CF26D7">
              <w:rPr>
                <w:b/>
                <w:shd w:val="clear" w:color="auto" w:fill="FFFFFF"/>
              </w:rPr>
              <w:t>e</w:t>
            </w:r>
            <w:r w:rsidRPr="00CF26D7">
              <w:rPr>
                <w:b/>
              </w:rPr>
              <w:t>-mail</w:t>
            </w:r>
            <w:r w:rsidRPr="00974284">
              <w:t>:</w:t>
            </w:r>
            <w:r>
              <w:t xml:space="preserve"> </w:t>
            </w:r>
            <w:hyperlink r:id="rId5" w:history="1">
              <w:r w:rsidR="001A78C5" w:rsidRPr="003D5B21">
                <w:rPr>
                  <w:rStyle w:val="Hiperhivatkozs"/>
                </w:rPr>
                <w:t>titkarsag@nyarypaliskola.hu</w:t>
              </w:r>
            </w:hyperlink>
            <w:r w:rsidR="00410EF0">
              <w:t xml:space="preserve"> </w:t>
            </w:r>
            <w:r w:rsidR="00410EF0" w:rsidRPr="00974284">
              <w:t xml:space="preserve"> </w:t>
            </w:r>
          </w:p>
        </w:tc>
      </w:tr>
      <w:tr w:rsidR="00885A96" w:rsidRPr="0029427F" w:rsidTr="00411E7D">
        <w:tc>
          <w:tcPr>
            <w:tcW w:w="9182" w:type="dxa"/>
            <w:gridSpan w:val="2"/>
            <w:tcBorders>
              <w:top w:val="single" w:sz="4" w:space="0" w:color="auto"/>
              <w:left w:val="single" w:sz="4" w:space="0" w:color="auto"/>
              <w:bottom w:val="single" w:sz="4" w:space="0" w:color="auto"/>
              <w:right w:val="single" w:sz="4" w:space="0" w:color="auto"/>
            </w:tcBorders>
            <w:shd w:val="clear" w:color="auto" w:fill="auto"/>
          </w:tcPr>
          <w:p w:rsidR="00885A96" w:rsidRDefault="00885A96" w:rsidP="00411E7D">
            <w:pPr>
              <w:jc w:val="both"/>
              <w:rPr>
                <w:b/>
              </w:rPr>
            </w:pPr>
            <w:r>
              <w:rPr>
                <w:b/>
              </w:rPr>
              <w:t>Adatkezelő képviselője:</w:t>
            </w:r>
          </w:p>
        </w:tc>
      </w:tr>
      <w:tr w:rsidR="00885A96" w:rsidRPr="0029427F" w:rsidTr="00411E7D">
        <w:tc>
          <w:tcPr>
            <w:tcW w:w="2300" w:type="dxa"/>
            <w:tcBorders>
              <w:top w:val="single" w:sz="4" w:space="0" w:color="auto"/>
              <w:left w:val="single" w:sz="4" w:space="0" w:color="auto"/>
              <w:bottom w:val="single" w:sz="4" w:space="0" w:color="auto"/>
              <w:right w:val="single" w:sz="4" w:space="0" w:color="auto"/>
            </w:tcBorders>
            <w:shd w:val="clear" w:color="auto" w:fill="auto"/>
          </w:tcPr>
          <w:p w:rsidR="00885A96" w:rsidRPr="0029427F" w:rsidRDefault="00885A96" w:rsidP="00411E7D">
            <w:pPr>
              <w:autoSpaceDE w:val="0"/>
              <w:autoSpaceDN w:val="0"/>
              <w:adjustRightInd w:val="0"/>
              <w:jc w:val="both"/>
              <w:rPr>
                <w:b/>
              </w:rPr>
            </w:pPr>
            <w:r w:rsidRPr="0029427F">
              <w:rPr>
                <w:b/>
              </w:rPr>
              <w:t>Képviselő neve, elérhetősége</w:t>
            </w:r>
          </w:p>
        </w:tc>
        <w:tc>
          <w:tcPr>
            <w:tcW w:w="6882" w:type="dxa"/>
            <w:tcBorders>
              <w:top w:val="single" w:sz="4" w:space="0" w:color="auto"/>
              <w:left w:val="single" w:sz="4" w:space="0" w:color="auto"/>
              <w:bottom w:val="single" w:sz="4" w:space="0" w:color="auto"/>
              <w:right w:val="single" w:sz="4" w:space="0" w:color="auto"/>
            </w:tcBorders>
            <w:shd w:val="clear" w:color="auto" w:fill="auto"/>
          </w:tcPr>
          <w:p w:rsidR="00885A96" w:rsidRDefault="00885A96" w:rsidP="00411E7D">
            <w:pPr>
              <w:jc w:val="both"/>
              <w:rPr>
                <w:b/>
              </w:rPr>
            </w:pPr>
            <w:proofErr w:type="spellStart"/>
            <w:r>
              <w:rPr>
                <w:b/>
              </w:rPr>
              <w:t>Kemenár</w:t>
            </w:r>
            <w:proofErr w:type="spellEnd"/>
            <w:r>
              <w:rPr>
                <w:b/>
              </w:rPr>
              <w:t xml:space="preserve"> Lászlóné intézményvezető</w:t>
            </w:r>
          </w:p>
          <w:p w:rsidR="00885A96" w:rsidRPr="0029427F" w:rsidRDefault="00885A96" w:rsidP="00885A96">
            <w:pPr>
              <w:autoSpaceDE w:val="0"/>
              <w:autoSpaceDN w:val="0"/>
              <w:adjustRightInd w:val="0"/>
              <w:jc w:val="both"/>
              <w:rPr>
                <w:rFonts w:eastAsia="Arial"/>
                <w:b/>
              </w:rPr>
            </w:pPr>
            <w:r w:rsidRPr="00CF26D7">
              <w:rPr>
                <w:rFonts w:eastAsia="Garamond"/>
                <w:b/>
              </w:rPr>
              <w:t>telefon</w:t>
            </w:r>
            <w:r w:rsidRPr="00CF26D7">
              <w:rPr>
                <w:rFonts w:eastAsia="Garamond"/>
              </w:rPr>
              <w:t xml:space="preserve">: </w:t>
            </w:r>
            <w:r w:rsidRPr="00B57CF4">
              <w:rPr>
                <w:shd w:val="clear" w:color="auto" w:fill="FFFFFF"/>
              </w:rPr>
              <w:t>062949</w:t>
            </w:r>
            <w:r>
              <w:rPr>
                <w:shd w:val="clear" w:color="auto" w:fill="FFFFFF"/>
              </w:rPr>
              <w:t>0017</w:t>
            </w:r>
            <w:r w:rsidRPr="00CF26D7">
              <w:rPr>
                <w:rFonts w:eastAsia="Garamond"/>
              </w:rPr>
              <w:t xml:space="preserve">, </w:t>
            </w:r>
            <w:r w:rsidRPr="00CF26D7">
              <w:rPr>
                <w:rFonts w:eastAsia="Garamond"/>
                <w:b/>
              </w:rPr>
              <w:t>e-mail</w:t>
            </w:r>
            <w:r w:rsidRPr="00CF26D7">
              <w:rPr>
                <w:rFonts w:eastAsia="Garamond"/>
              </w:rPr>
              <w:t>:</w:t>
            </w:r>
            <w:r>
              <w:rPr>
                <w:rFonts w:eastAsia="Garamond"/>
              </w:rPr>
              <w:t xml:space="preserve"> </w:t>
            </w:r>
            <w:hyperlink r:id="rId6" w:history="1">
              <w:r w:rsidR="001A78C5" w:rsidRPr="003D5B21">
                <w:rPr>
                  <w:rStyle w:val="Hiperhivatkozs"/>
                </w:rPr>
                <w:t>titkarsag@nyarypaliskola.hu</w:t>
              </w:r>
            </w:hyperlink>
            <w:r w:rsidR="00410EF0">
              <w:t xml:space="preserve"> </w:t>
            </w:r>
            <w:r w:rsidR="00410EF0" w:rsidRPr="00974284">
              <w:t xml:space="preserve"> </w:t>
            </w:r>
          </w:p>
        </w:tc>
      </w:tr>
      <w:tr w:rsidR="00885A96" w:rsidRPr="003A79EE" w:rsidTr="00411E7D">
        <w:tc>
          <w:tcPr>
            <w:tcW w:w="9182" w:type="dxa"/>
            <w:gridSpan w:val="2"/>
            <w:tcBorders>
              <w:top w:val="single" w:sz="4" w:space="0" w:color="auto"/>
              <w:left w:val="single" w:sz="4" w:space="0" w:color="auto"/>
              <w:bottom w:val="single" w:sz="4" w:space="0" w:color="auto"/>
              <w:right w:val="single" w:sz="4" w:space="0" w:color="auto"/>
            </w:tcBorders>
            <w:shd w:val="clear" w:color="auto" w:fill="auto"/>
          </w:tcPr>
          <w:p w:rsidR="00885A96" w:rsidRPr="003A79EE" w:rsidRDefault="00885A96" w:rsidP="00411E7D">
            <w:pPr>
              <w:jc w:val="both"/>
              <w:rPr>
                <w:rFonts w:ascii="Garamond" w:hAnsi="Garamond"/>
              </w:rPr>
            </w:pPr>
            <w:r w:rsidRPr="00C373FF">
              <w:rPr>
                <w:rFonts w:ascii="Garamond" w:hAnsi="Garamond"/>
                <w:b/>
              </w:rPr>
              <w:t>Adatvédelmi tisztviselő</w:t>
            </w:r>
            <w:r w:rsidRPr="003A79EE">
              <w:rPr>
                <w:rFonts w:ascii="Garamond" w:hAnsi="Garamond"/>
              </w:rPr>
              <w:t>:</w:t>
            </w:r>
          </w:p>
        </w:tc>
      </w:tr>
      <w:tr w:rsidR="00885A96" w:rsidRPr="00B23826" w:rsidTr="00411E7D">
        <w:tc>
          <w:tcPr>
            <w:tcW w:w="2300" w:type="dxa"/>
            <w:tcBorders>
              <w:top w:val="single" w:sz="4" w:space="0" w:color="auto"/>
              <w:left w:val="single" w:sz="4" w:space="0" w:color="auto"/>
              <w:bottom w:val="single" w:sz="4" w:space="0" w:color="auto"/>
              <w:right w:val="single" w:sz="4" w:space="0" w:color="auto"/>
            </w:tcBorders>
            <w:shd w:val="clear" w:color="auto" w:fill="auto"/>
          </w:tcPr>
          <w:p w:rsidR="00885A96" w:rsidRPr="00D07690" w:rsidRDefault="00885A96" w:rsidP="00411E7D">
            <w:pPr>
              <w:jc w:val="both"/>
            </w:pPr>
            <w:r w:rsidRPr="00D07690">
              <w:t>Adatvédelmi tisztviselő neve, elérhetősége</w:t>
            </w:r>
          </w:p>
        </w:tc>
        <w:tc>
          <w:tcPr>
            <w:tcW w:w="6882" w:type="dxa"/>
            <w:tcBorders>
              <w:top w:val="single" w:sz="4" w:space="0" w:color="auto"/>
              <w:left w:val="single" w:sz="4" w:space="0" w:color="auto"/>
              <w:bottom w:val="single" w:sz="4" w:space="0" w:color="auto"/>
              <w:right w:val="single" w:sz="4" w:space="0" w:color="auto"/>
            </w:tcBorders>
            <w:shd w:val="clear" w:color="auto" w:fill="auto"/>
          </w:tcPr>
          <w:p w:rsidR="00885A96" w:rsidRDefault="00885A96" w:rsidP="00411E7D">
            <w:pPr>
              <w:jc w:val="both"/>
              <w:rPr>
                <w:rFonts w:ascii="Garamond" w:hAnsi="Garamond"/>
              </w:rPr>
            </w:pPr>
            <w:r w:rsidRPr="001458CB">
              <w:rPr>
                <w:rFonts w:ascii="Garamond" w:hAnsi="Garamond"/>
              </w:rPr>
              <w:t xml:space="preserve">dr. Kozma Gergely </w:t>
            </w:r>
            <w:proofErr w:type="spellStart"/>
            <w:r w:rsidRPr="001458CB">
              <w:rPr>
                <w:rFonts w:ascii="Garamond" w:hAnsi="Garamond"/>
              </w:rPr>
              <w:t>e.v</w:t>
            </w:r>
            <w:proofErr w:type="spellEnd"/>
            <w:r w:rsidRPr="001458CB">
              <w:rPr>
                <w:rFonts w:ascii="Garamond" w:hAnsi="Garamond"/>
              </w:rPr>
              <w:t xml:space="preserve">. 52286010 </w:t>
            </w:r>
          </w:p>
          <w:p w:rsidR="00885A96" w:rsidRDefault="001A78C5" w:rsidP="00411E7D">
            <w:pPr>
              <w:jc w:val="both"/>
              <w:rPr>
                <w:rFonts w:ascii="Garamond" w:hAnsi="Garamond"/>
              </w:rPr>
            </w:pPr>
            <w:hyperlink r:id="rId7" w:history="1">
              <w:r w:rsidR="00885A96" w:rsidRPr="005C502D">
                <w:rPr>
                  <w:rStyle w:val="Hiperhivatkozs"/>
                  <w:rFonts w:ascii="Garamond" w:hAnsi="Garamond"/>
                </w:rPr>
                <w:t>https://gdprofessionals.hu/kapcsolat/</w:t>
              </w:r>
            </w:hyperlink>
            <w:r w:rsidR="00885A96" w:rsidRPr="001458CB">
              <w:rPr>
                <w:rFonts w:ascii="Garamond" w:hAnsi="Garamond"/>
              </w:rPr>
              <w:t>,</w:t>
            </w:r>
            <w:r w:rsidR="00885A96">
              <w:rPr>
                <w:rFonts w:ascii="Garamond" w:hAnsi="Garamond"/>
              </w:rPr>
              <w:t xml:space="preserve"> </w:t>
            </w:r>
          </w:p>
          <w:p w:rsidR="00885A96" w:rsidRDefault="00885A96" w:rsidP="00411E7D">
            <w:pPr>
              <w:jc w:val="both"/>
              <w:rPr>
                <w:rFonts w:ascii="Garamond" w:hAnsi="Garamond"/>
              </w:rPr>
            </w:pPr>
            <w:r>
              <w:rPr>
                <w:rFonts w:ascii="Garamond" w:hAnsi="Garamond"/>
              </w:rPr>
              <w:t>e-mail:</w:t>
            </w:r>
            <w:r w:rsidRPr="001458CB">
              <w:rPr>
                <w:rFonts w:ascii="Garamond" w:hAnsi="Garamond"/>
              </w:rPr>
              <w:t xml:space="preserve"> </w:t>
            </w:r>
            <w:hyperlink r:id="rId8" w:history="1">
              <w:r w:rsidRPr="005C502D">
                <w:rPr>
                  <w:rStyle w:val="Hiperhivatkozs"/>
                  <w:rFonts w:ascii="Garamond" w:hAnsi="Garamond"/>
                </w:rPr>
                <w:t>info@gdprofessionals.hu</w:t>
              </w:r>
            </w:hyperlink>
            <w:r w:rsidRPr="001458CB">
              <w:rPr>
                <w:rFonts w:ascii="Garamond" w:hAnsi="Garamond"/>
              </w:rPr>
              <w:t xml:space="preserve">, </w:t>
            </w:r>
            <w:bookmarkStart w:id="0" w:name="_GoBack"/>
            <w:bookmarkEnd w:id="0"/>
          </w:p>
          <w:p w:rsidR="00885A96" w:rsidRPr="00B23826" w:rsidRDefault="00885A96" w:rsidP="00411E7D">
            <w:pPr>
              <w:jc w:val="both"/>
              <w:rPr>
                <w:rFonts w:ascii="Garamond" w:hAnsi="Garamond"/>
              </w:rPr>
            </w:pPr>
            <w:r>
              <w:rPr>
                <w:rFonts w:ascii="Garamond" w:hAnsi="Garamond"/>
              </w:rPr>
              <w:t xml:space="preserve">Telefon: </w:t>
            </w:r>
            <w:r w:rsidRPr="001458CB">
              <w:rPr>
                <w:rFonts w:ascii="Garamond" w:hAnsi="Garamond"/>
              </w:rPr>
              <w:t>06-30-3889943</w:t>
            </w:r>
          </w:p>
        </w:tc>
      </w:tr>
    </w:tbl>
    <w:p w:rsidR="00EE5962" w:rsidRDefault="00EE5962" w:rsidP="00EE5962">
      <w:pPr>
        <w:jc w:val="both"/>
      </w:pPr>
    </w:p>
    <w:p w:rsidR="00EE5962" w:rsidRPr="00885A96" w:rsidRDefault="00EE5962" w:rsidP="00EE5962">
      <w:pPr>
        <w:jc w:val="both"/>
        <w:rPr>
          <w:b/>
        </w:rPr>
      </w:pPr>
      <w:r w:rsidRPr="00885A96">
        <w:rPr>
          <w:b/>
        </w:rPr>
        <w:t>Térkép kamerák elhelyezkedéséről, megfigyelt területről:</w:t>
      </w:r>
    </w:p>
    <w:p w:rsidR="00EE5962" w:rsidRDefault="00EE5962" w:rsidP="00EE5962">
      <w:pPr>
        <w:jc w:val="both"/>
      </w:pPr>
    </w:p>
    <w:p w:rsidR="00EE5962" w:rsidRDefault="00EE5962" w:rsidP="00EE5962">
      <w:pPr>
        <w:jc w:val="both"/>
      </w:pPr>
      <w:r>
        <w:t>Földszint:</w:t>
      </w:r>
      <w:r>
        <w:tab/>
      </w:r>
      <w:r>
        <w:tab/>
      </w:r>
      <w:r>
        <w:tab/>
      </w:r>
      <w:r>
        <w:tab/>
      </w:r>
      <w:r>
        <w:tab/>
        <w:t>Emelet:</w:t>
      </w:r>
    </w:p>
    <w:p w:rsidR="00EE5962" w:rsidRDefault="00EE5962" w:rsidP="00EE5962">
      <w:pPr>
        <w:jc w:val="both"/>
      </w:pPr>
      <w:r>
        <w:rPr>
          <w:noProof/>
        </w:rPr>
        <w:drawing>
          <wp:inline distT="0" distB="0" distL="0" distR="0" wp14:anchorId="35BB3A80" wp14:editId="6ABFFDDD">
            <wp:extent cx="2432387" cy="2243667"/>
            <wp:effectExtent l="0" t="0" r="6350" b="444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öldszint.jpg"/>
                    <pic:cNvPicPr/>
                  </pic:nvPicPr>
                  <pic:blipFill>
                    <a:blip r:embed="rId9">
                      <a:extLst>
                        <a:ext uri="{28A0092B-C50C-407E-A947-70E740481C1C}">
                          <a14:useLocalDpi xmlns:a14="http://schemas.microsoft.com/office/drawing/2010/main" val="0"/>
                        </a:ext>
                      </a:extLst>
                    </a:blip>
                    <a:stretch>
                      <a:fillRect/>
                    </a:stretch>
                  </pic:blipFill>
                  <pic:spPr>
                    <a:xfrm>
                      <a:off x="0" y="0"/>
                      <a:ext cx="2443131" cy="2253578"/>
                    </a:xfrm>
                    <a:prstGeom prst="rect">
                      <a:avLst/>
                    </a:prstGeom>
                  </pic:spPr>
                </pic:pic>
              </a:graphicData>
            </a:graphic>
          </wp:inline>
        </w:drawing>
      </w:r>
      <w:r>
        <w:tab/>
      </w:r>
      <w:r>
        <w:rPr>
          <w:noProof/>
        </w:rPr>
        <w:drawing>
          <wp:inline distT="0" distB="0" distL="0" distR="0" wp14:anchorId="627AFE6B" wp14:editId="237F47BC">
            <wp:extent cx="2429934" cy="2241404"/>
            <wp:effectExtent l="0" t="0" r="8890" b="6985"/>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melet.jpg"/>
                    <pic:cNvPicPr/>
                  </pic:nvPicPr>
                  <pic:blipFill>
                    <a:blip r:embed="rId10">
                      <a:extLst>
                        <a:ext uri="{28A0092B-C50C-407E-A947-70E740481C1C}">
                          <a14:useLocalDpi xmlns:a14="http://schemas.microsoft.com/office/drawing/2010/main" val="0"/>
                        </a:ext>
                      </a:extLst>
                    </a:blip>
                    <a:stretch>
                      <a:fillRect/>
                    </a:stretch>
                  </pic:blipFill>
                  <pic:spPr>
                    <a:xfrm>
                      <a:off x="0" y="0"/>
                      <a:ext cx="2449444" cy="2259400"/>
                    </a:xfrm>
                    <a:prstGeom prst="rect">
                      <a:avLst/>
                    </a:prstGeom>
                  </pic:spPr>
                </pic:pic>
              </a:graphicData>
            </a:graphic>
          </wp:inline>
        </w:drawing>
      </w:r>
    </w:p>
    <w:p w:rsidR="00EE5962" w:rsidRDefault="00EE5962" w:rsidP="00EE5962">
      <w:pPr>
        <w:jc w:val="both"/>
      </w:pPr>
    </w:p>
    <w:p w:rsidR="00EE5962" w:rsidRDefault="00EE5962" w:rsidP="00EE5962">
      <w:pPr>
        <w:jc w:val="both"/>
      </w:pPr>
    </w:p>
    <w:p w:rsidR="00885A96" w:rsidRDefault="00885A96" w:rsidP="00885A9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7619"/>
      </w:tblGrid>
      <w:tr w:rsidR="00885A96" w:rsidRPr="0031036E" w:rsidTr="00411E7D">
        <w:tc>
          <w:tcPr>
            <w:tcW w:w="1443" w:type="dxa"/>
            <w:shd w:val="clear" w:color="auto" w:fill="auto"/>
          </w:tcPr>
          <w:p w:rsidR="00885A96" w:rsidRPr="0031036E" w:rsidRDefault="00885A96" w:rsidP="00411E7D">
            <w:pPr>
              <w:jc w:val="both"/>
              <w:rPr>
                <w:b/>
              </w:rPr>
            </w:pPr>
            <w:r w:rsidRPr="0031036E">
              <w:rPr>
                <w:b/>
              </w:rPr>
              <w:t>Kezelt adatok</w:t>
            </w:r>
          </w:p>
        </w:tc>
        <w:tc>
          <w:tcPr>
            <w:tcW w:w="7619" w:type="dxa"/>
            <w:shd w:val="clear" w:color="auto" w:fill="auto"/>
          </w:tcPr>
          <w:p w:rsidR="00885A96" w:rsidRPr="00D460F5" w:rsidRDefault="00885A96" w:rsidP="00411E7D">
            <w:pPr>
              <w:pStyle w:val="NormlWeb"/>
              <w:shd w:val="clear" w:color="auto" w:fill="FFFFFF"/>
              <w:jc w:val="both"/>
              <w:rPr>
                <w:color w:val="000000"/>
              </w:rPr>
            </w:pPr>
            <w:r>
              <w:t xml:space="preserve">Az </w:t>
            </w:r>
            <w:r>
              <w:rPr>
                <w:bCs/>
              </w:rPr>
              <w:t>elektronikus megfigyelőrendszer</w:t>
            </w:r>
            <w:r>
              <w:t xml:space="preserve"> rögzíti az érintett képmását, az általa tanúsított magatartást.</w:t>
            </w:r>
          </w:p>
        </w:tc>
      </w:tr>
      <w:tr w:rsidR="00885A96" w:rsidRPr="0031036E" w:rsidTr="00411E7D">
        <w:tc>
          <w:tcPr>
            <w:tcW w:w="1443" w:type="dxa"/>
            <w:shd w:val="clear" w:color="auto" w:fill="auto"/>
          </w:tcPr>
          <w:p w:rsidR="00885A96" w:rsidRPr="0031036E" w:rsidRDefault="00885A96" w:rsidP="00411E7D">
            <w:pPr>
              <w:jc w:val="both"/>
              <w:rPr>
                <w:b/>
              </w:rPr>
            </w:pPr>
            <w:r w:rsidRPr="0031036E">
              <w:rPr>
                <w:b/>
              </w:rPr>
              <w:t>Adatkezelés célja</w:t>
            </w:r>
          </w:p>
        </w:tc>
        <w:tc>
          <w:tcPr>
            <w:tcW w:w="7619" w:type="dxa"/>
            <w:shd w:val="clear" w:color="auto" w:fill="auto"/>
          </w:tcPr>
          <w:p w:rsidR="00885A96" w:rsidRPr="00A27A0B" w:rsidRDefault="00885A96" w:rsidP="00411E7D">
            <w:pPr>
              <w:jc w:val="both"/>
            </w:pPr>
            <w:r>
              <w:t>az Intézmény területén tartózkodó személyek életét, testi épségét érintő cselekményekkel, továbbá az Intézmény kezelésében lévő vagyontárgyakkal, kapcsolatos jogsértések észlelése, bizonyítékok rögzítése, elkövető azonosítása.</w:t>
            </w:r>
          </w:p>
        </w:tc>
      </w:tr>
      <w:tr w:rsidR="00885A96" w:rsidRPr="0031036E" w:rsidTr="00411E7D">
        <w:tc>
          <w:tcPr>
            <w:tcW w:w="1443" w:type="dxa"/>
            <w:shd w:val="clear" w:color="auto" w:fill="auto"/>
          </w:tcPr>
          <w:p w:rsidR="00885A96" w:rsidRPr="0031036E" w:rsidRDefault="00885A96" w:rsidP="00411E7D">
            <w:pPr>
              <w:jc w:val="both"/>
              <w:rPr>
                <w:b/>
              </w:rPr>
            </w:pPr>
            <w:r w:rsidRPr="0031036E">
              <w:rPr>
                <w:b/>
              </w:rPr>
              <w:t>Adatkezelés jogalapja</w:t>
            </w:r>
          </w:p>
        </w:tc>
        <w:tc>
          <w:tcPr>
            <w:tcW w:w="7619" w:type="dxa"/>
            <w:shd w:val="clear" w:color="auto" w:fill="auto"/>
          </w:tcPr>
          <w:p w:rsidR="00885A96" w:rsidRDefault="00885A96" w:rsidP="00411E7D">
            <w:pPr>
              <w:jc w:val="both"/>
            </w:pPr>
            <w:r>
              <w:t xml:space="preserve">Az adatkezelés jogalapja a GDPR 6. cikke (1) bekezdésének e) pontja alapján, mivel az adatkezelés közérdekű jogosítvány gyakorlásának keretében végzett feladat végrehajtásához szükséges, ami az intézmény területén elkövetett személy elleni cselekmények, illetve az intézményhez tartozó vagyontárgyak állagának megóvása, eltulajdonításuk, megrongálódásuk észlelése, az elkövető kilétének megállapítása érdekében. </w:t>
            </w:r>
          </w:p>
          <w:p w:rsidR="00885A96" w:rsidRPr="0031036E" w:rsidRDefault="00885A96" w:rsidP="00411E7D">
            <w:pPr>
              <w:jc w:val="both"/>
            </w:pPr>
          </w:p>
          <w:p w:rsidR="00885A96" w:rsidRPr="004D39C0" w:rsidRDefault="00885A96" w:rsidP="00411E7D">
            <w:pPr>
              <w:jc w:val="both"/>
              <w:rPr>
                <w:b/>
              </w:rPr>
            </w:pPr>
            <w:r w:rsidRPr="00D460F5">
              <w:rPr>
                <w:b/>
              </w:rPr>
              <w:t>Adatszolgáltatás alapja:</w:t>
            </w:r>
            <w:r w:rsidRPr="00D460F5">
              <w:t xml:space="preserve"> </w:t>
            </w:r>
            <w:r>
              <w:t xml:space="preserve">nem alapul jogszabályon, </w:t>
            </w:r>
            <w:r w:rsidRPr="00D460F5">
              <w:t>szerződésen</w:t>
            </w:r>
            <w:r>
              <w:t xml:space="preserve"> hozzájáruláson alapul</w:t>
            </w:r>
            <w:r w:rsidRPr="00D460F5">
              <w:t xml:space="preserve">, megadása nem kötelező, </w:t>
            </w:r>
            <w:r>
              <w:t>de a kamerával megfigyelt területre való belépés esetén szükségszerű</w:t>
            </w:r>
            <w:r w:rsidRPr="00D460F5">
              <w:rPr>
                <w:color w:val="000000"/>
              </w:rPr>
              <w:t>.</w:t>
            </w:r>
            <w:r w:rsidRPr="00D460F5">
              <w:rPr>
                <w:b/>
              </w:rPr>
              <w:t xml:space="preserve"> </w:t>
            </w:r>
          </w:p>
        </w:tc>
      </w:tr>
      <w:tr w:rsidR="00885A96" w:rsidRPr="0031036E" w:rsidTr="00411E7D">
        <w:tc>
          <w:tcPr>
            <w:tcW w:w="1443" w:type="dxa"/>
            <w:shd w:val="clear" w:color="auto" w:fill="auto"/>
          </w:tcPr>
          <w:p w:rsidR="00885A96" w:rsidRPr="0031036E" w:rsidRDefault="00885A96" w:rsidP="00411E7D">
            <w:pPr>
              <w:jc w:val="both"/>
              <w:rPr>
                <w:b/>
              </w:rPr>
            </w:pPr>
            <w:r w:rsidRPr="0031036E">
              <w:rPr>
                <w:b/>
              </w:rPr>
              <w:lastRenderedPageBreak/>
              <w:t>Adatkezelés ideje</w:t>
            </w:r>
          </w:p>
        </w:tc>
        <w:tc>
          <w:tcPr>
            <w:tcW w:w="7619" w:type="dxa"/>
            <w:shd w:val="clear" w:color="auto" w:fill="auto"/>
          </w:tcPr>
          <w:p w:rsidR="00885A96" w:rsidRPr="00A27A0B" w:rsidRDefault="00885A96" w:rsidP="00411E7D">
            <w:pPr>
              <w:jc w:val="both"/>
            </w:pPr>
            <w:r>
              <w:t xml:space="preserve">A rögzítéstől számított </w:t>
            </w:r>
            <w:r w:rsidRPr="531FE645">
              <w:t>3 nap</w:t>
            </w:r>
            <w:r>
              <w:t>. Amennyiben a felvételen szerepel, 3 napon belül kérheti, hogy a felvételt az Intézmény a felvétel továbbításáig, de legfeljebb harminc napig ne törölje.</w:t>
            </w:r>
          </w:p>
        </w:tc>
      </w:tr>
      <w:tr w:rsidR="00885A96" w:rsidRPr="0031036E" w:rsidTr="00411E7D">
        <w:tc>
          <w:tcPr>
            <w:tcW w:w="1443" w:type="dxa"/>
            <w:shd w:val="clear" w:color="auto" w:fill="auto"/>
          </w:tcPr>
          <w:p w:rsidR="00885A96" w:rsidRPr="0031036E" w:rsidRDefault="00885A96" w:rsidP="00411E7D">
            <w:pPr>
              <w:jc w:val="both"/>
              <w:rPr>
                <w:b/>
              </w:rPr>
            </w:pPr>
            <w:r w:rsidRPr="0031036E">
              <w:rPr>
                <w:b/>
              </w:rPr>
              <w:t>Az Önt megillető jogok</w:t>
            </w:r>
          </w:p>
        </w:tc>
        <w:tc>
          <w:tcPr>
            <w:tcW w:w="7619" w:type="dxa"/>
            <w:shd w:val="clear" w:color="auto" w:fill="auto"/>
          </w:tcPr>
          <w:p w:rsidR="00885A96" w:rsidRPr="0031036E" w:rsidRDefault="00885A96" w:rsidP="00411E7D">
            <w:pPr>
              <w:jc w:val="both"/>
            </w:pPr>
            <w:r w:rsidRPr="0031036E">
              <w:t>Személyes adatokhoz történő hozzáférés, helyesbítés, korlátozás,</w:t>
            </w:r>
            <w:r>
              <w:t xml:space="preserve"> törlés,</w:t>
            </w:r>
            <w:r w:rsidRPr="0031036E">
              <w:t xml:space="preserve"> tiltakozhat a személyes adatok kezelése ellen, valamint megilleti a jogorvoslat joga.</w:t>
            </w:r>
          </w:p>
        </w:tc>
      </w:tr>
      <w:tr w:rsidR="00885A96" w:rsidRPr="0031036E" w:rsidTr="00411E7D">
        <w:tc>
          <w:tcPr>
            <w:tcW w:w="1443" w:type="dxa"/>
            <w:shd w:val="clear" w:color="auto" w:fill="auto"/>
          </w:tcPr>
          <w:p w:rsidR="00885A96" w:rsidRPr="0031036E" w:rsidRDefault="00885A96" w:rsidP="00411E7D">
            <w:pPr>
              <w:jc w:val="both"/>
              <w:rPr>
                <w:b/>
              </w:rPr>
            </w:pPr>
            <w:r w:rsidRPr="0031036E">
              <w:rPr>
                <w:b/>
              </w:rPr>
              <w:t>Adatok továbbítása</w:t>
            </w:r>
          </w:p>
        </w:tc>
        <w:tc>
          <w:tcPr>
            <w:tcW w:w="7619" w:type="dxa"/>
            <w:shd w:val="clear" w:color="auto" w:fill="auto"/>
          </w:tcPr>
          <w:p w:rsidR="00885A96" w:rsidRPr="0031036E" w:rsidRDefault="00885A96" w:rsidP="00411E7D">
            <w:pPr>
              <w:jc w:val="both"/>
            </w:pPr>
            <w:r>
              <w:t xml:space="preserve">Bíróság vagy más hatóság megkeresésére a felvételt, valamint más személyes adatot az Intézmény a bíróságnak vagy a hatóságnak haladéktalanul megküldi. </w:t>
            </w:r>
          </w:p>
        </w:tc>
      </w:tr>
      <w:tr w:rsidR="00885A96" w:rsidRPr="0031036E" w:rsidTr="00411E7D">
        <w:tc>
          <w:tcPr>
            <w:tcW w:w="1443" w:type="dxa"/>
            <w:shd w:val="clear" w:color="auto" w:fill="auto"/>
          </w:tcPr>
          <w:p w:rsidR="00885A96" w:rsidRPr="0031036E" w:rsidRDefault="00885A96" w:rsidP="00411E7D">
            <w:pPr>
              <w:jc w:val="both"/>
              <w:rPr>
                <w:b/>
              </w:rPr>
            </w:pPr>
            <w:r w:rsidRPr="0031036E">
              <w:rPr>
                <w:b/>
              </w:rPr>
              <w:t>Céltól eltérő adatkezelés</w:t>
            </w:r>
          </w:p>
        </w:tc>
        <w:tc>
          <w:tcPr>
            <w:tcW w:w="7619" w:type="dxa"/>
            <w:shd w:val="clear" w:color="auto" w:fill="auto"/>
          </w:tcPr>
          <w:p w:rsidR="00885A96" w:rsidRPr="0031036E" w:rsidRDefault="00885A96" w:rsidP="00411E7D">
            <w:pPr>
              <w:jc w:val="both"/>
            </w:pPr>
            <w:r>
              <w:t>Nem kerül sor</w:t>
            </w:r>
          </w:p>
        </w:tc>
      </w:tr>
      <w:tr w:rsidR="00885A96" w:rsidRPr="00245296" w:rsidTr="00411E7D">
        <w:tc>
          <w:tcPr>
            <w:tcW w:w="1443" w:type="dxa"/>
            <w:shd w:val="clear" w:color="auto" w:fill="auto"/>
          </w:tcPr>
          <w:p w:rsidR="00885A96" w:rsidRPr="00245296" w:rsidRDefault="00885A96" w:rsidP="00411E7D">
            <w:pPr>
              <w:jc w:val="both"/>
              <w:rPr>
                <w:b/>
              </w:rPr>
            </w:pPr>
            <w:r w:rsidRPr="00245296">
              <w:rPr>
                <w:b/>
              </w:rPr>
              <w:t>Az Ön azonosítása</w:t>
            </w:r>
          </w:p>
        </w:tc>
        <w:tc>
          <w:tcPr>
            <w:tcW w:w="7619" w:type="dxa"/>
            <w:shd w:val="clear" w:color="auto" w:fill="auto"/>
          </w:tcPr>
          <w:p w:rsidR="00885A96" w:rsidRPr="00245296" w:rsidRDefault="00885A96" w:rsidP="00411E7D">
            <w:pPr>
              <w:jc w:val="both"/>
            </w:pPr>
            <w:r w:rsidRPr="00245296">
              <w:t xml:space="preserve">Az adatkezeléshez kapcsolódóan a tartózkodási hely, időpont megjelenés részletei alapján tudjuk azonosítani. </w:t>
            </w:r>
          </w:p>
        </w:tc>
      </w:tr>
      <w:tr w:rsidR="00885A96" w:rsidRPr="0031036E" w:rsidTr="00411E7D">
        <w:tc>
          <w:tcPr>
            <w:tcW w:w="1443" w:type="dxa"/>
            <w:tcBorders>
              <w:top w:val="single" w:sz="4" w:space="0" w:color="auto"/>
              <w:left w:val="single" w:sz="4" w:space="0" w:color="auto"/>
              <w:bottom w:val="single" w:sz="4" w:space="0" w:color="auto"/>
              <w:right w:val="single" w:sz="4" w:space="0" w:color="auto"/>
            </w:tcBorders>
            <w:shd w:val="clear" w:color="auto" w:fill="auto"/>
          </w:tcPr>
          <w:p w:rsidR="00885A96" w:rsidRPr="0031036E" w:rsidRDefault="00885A96" w:rsidP="00411E7D">
            <w:pPr>
              <w:jc w:val="both"/>
              <w:rPr>
                <w:b/>
              </w:rPr>
            </w:pPr>
            <w:r w:rsidRPr="0031036E">
              <w:rPr>
                <w:b/>
              </w:rPr>
              <w:t>Adatkezelés kockázata</w:t>
            </w:r>
          </w:p>
        </w:tc>
        <w:tc>
          <w:tcPr>
            <w:tcW w:w="7619" w:type="dxa"/>
            <w:tcBorders>
              <w:top w:val="single" w:sz="4" w:space="0" w:color="auto"/>
              <w:left w:val="single" w:sz="4" w:space="0" w:color="auto"/>
              <w:bottom w:val="single" w:sz="4" w:space="0" w:color="auto"/>
              <w:right w:val="single" w:sz="4" w:space="0" w:color="auto"/>
            </w:tcBorders>
            <w:shd w:val="clear" w:color="auto" w:fill="auto"/>
          </w:tcPr>
          <w:p w:rsidR="00885A96" w:rsidRPr="008453DA" w:rsidRDefault="00885A96" w:rsidP="00411E7D">
            <w:pPr>
              <w:jc w:val="both"/>
            </w:pPr>
            <w:r w:rsidRPr="0031036E">
              <w:t xml:space="preserve">A kapcsolattartói adatok kezelését </w:t>
            </w:r>
            <w:r>
              <w:t>az intézmény közepes</w:t>
            </w:r>
            <w:r w:rsidRPr="0031036E">
              <w:t xml:space="preserve"> kockázatúnak értékeli, amelynek keretében az adatvédelmi és adatbiztonsági szabályok szerint jár el. Automatizált döntéshozatalra, profilalkotásra nem kerül sor.</w:t>
            </w:r>
          </w:p>
        </w:tc>
      </w:tr>
    </w:tbl>
    <w:p w:rsidR="00885A96" w:rsidRDefault="00885A96" w:rsidP="00885A96">
      <w:pPr>
        <w:autoSpaceDE w:val="0"/>
        <w:autoSpaceDN w:val="0"/>
        <w:adjustRightInd w:val="0"/>
        <w:jc w:val="both"/>
        <w:rPr>
          <w:b/>
        </w:rPr>
      </w:pPr>
    </w:p>
    <w:p w:rsidR="00885A96" w:rsidRDefault="00885A96" w:rsidP="00885A96">
      <w:pPr>
        <w:autoSpaceDE w:val="0"/>
        <w:autoSpaceDN w:val="0"/>
        <w:adjustRightInd w:val="0"/>
        <w:jc w:val="both"/>
      </w:pPr>
      <w:r>
        <w:rPr>
          <w:b/>
        </w:rPr>
        <w:t xml:space="preserve">Adatbiztonsági intézkedések: </w:t>
      </w:r>
      <w:r>
        <w:t xml:space="preserve">Az Intézmény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 Az Intézmény adatkezelési műveleteit úgy tervezi meg és hajtja végre, hogy biztosítsa az érintettek magánszférájának védelmét. Ennek érdekében a képfelvételek külön tárhelyre kerülnek mentésre, </w:t>
      </w:r>
      <w:proofErr w:type="gramStart"/>
      <w:r>
        <w:t>automatikus</w:t>
      </w:r>
      <w:proofErr w:type="gramEnd"/>
      <w:r>
        <w:t xml:space="preserve"> felülírással, biztonsági mentés nélkül. A felvételt közvetítő képhez csak az férhet hozzá, akinek ez munkaköri feladata.</w:t>
      </w:r>
    </w:p>
    <w:p w:rsidR="00885A96" w:rsidRDefault="00885A96" w:rsidP="00885A96">
      <w:pPr>
        <w:jc w:val="both"/>
        <w:rPr>
          <w:color w:val="000000"/>
        </w:rPr>
      </w:pPr>
    </w:p>
    <w:p w:rsidR="00885A96" w:rsidRDefault="00885A96" w:rsidP="00885A96">
      <w:pPr>
        <w:jc w:val="both"/>
        <w:rPr>
          <w:color w:val="000000"/>
        </w:rPr>
      </w:pPr>
      <w:r>
        <w:rPr>
          <w:b/>
          <w:color w:val="000000"/>
        </w:rPr>
        <w:t>A kamerafelvétellel kapcsolatban megilleti</w:t>
      </w:r>
      <w:r>
        <w:rPr>
          <w:color w:val="000000"/>
        </w:rPr>
        <w:t>k a következő jogok:</w:t>
      </w:r>
    </w:p>
    <w:p w:rsidR="00885A96" w:rsidRDefault="00885A96" w:rsidP="00885A96">
      <w:pPr>
        <w:jc w:val="both"/>
        <w:rPr>
          <w:color w:val="000000"/>
        </w:rPr>
      </w:pPr>
    </w:p>
    <w:p w:rsidR="00885A96" w:rsidRDefault="00885A96" w:rsidP="00885A96">
      <w:pPr>
        <w:spacing w:before="100" w:after="100"/>
        <w:jc w:val="both"/>
        <w:rPr>
          <w:color w:val="000000"/>
        </w:rPr>
      </w:pPr>
      <w:r>
        <w:rPr>
          <w:b/>
          <w:bCs/>
          <w:color w:val="000000"/>
        </w:rPr>
        <w:t>Hozzáférés:</w:t>
      </w:r>
      <w:r>
        <w:rPr>
          <w:color w:val="000000"/>
        </w:rPr>
        <w:t xml:space="preserve"> Az érintett jogosult arra, hogy az Intézménynél érdeklődjön, és tőle visszajelzést kapjon arra vonatkozóan, hogy személyes adatainak kezelése folyamatban van-e, és ha ilyen adatkezelés folyamatban van, jogosult arra, hogy az alábbiakról tájékoztatást kapjon:</w:t>
      </w:r>
    </w:p>
    <w:p w:rsidR="00885A96" w:rsidRDefault="00885A96" w:rsidP="00885A96">
      <w:pPr>
        <w:widowControl w:val="0"/>
        <w:numPr>
          <w:ilvl w:val="0"/>
          <w:numId w:val="1"/>
        </w:numPr>
        <w:tabs>
          <w:tab w:val="left" w:pos="720"/>
        </w:tabs>
        <w:suppressAutoHyphens/>
        <w:spacing w:before="100" w:after="100"/>
        <w:jc w:val="both"/>
        <w:rPr>
          <w:color w:val="000000"/>
        </w:rPr>
      </w:pPr>
      <w:r>
        <w:rPr>
          <w:color w:val="000000"/>
        </w:rPr>
        <w:t>az adatkezelés céljai;</w:t>
      </w:r>
    </w:p>
    <w:p w:rsidR="00885A96" w:rsidRDefault="00885A96" w:rsidP="00885A96">
      <w:pPr>
        <w:widowControl w:val="0"/>
        <w:numPr>
          <w:ilvl w:val="0"/>
          <w:numId w:val="1"/>
        </w:numPr>
        <w:tabs>
          <w:tab w:val="left" w:pos="720"/>
        </w:tabs>
        <w:suppressAutoHyphens/>
        <w:spacing w:before="100" w:after="100"/>
        <w:jc w:val="both"/>
        <w:rPr>
          <w:color w:val="000000"/>
        </w:rPr>
      </w:pPr>
      <w:r>
        <w:rPr>
          <w:color w:val="000000"/>
        </w:rPr>
        <w:t xml:space="preserve">az érintett személyes adatok </w:t>
      </w:r>
      <w:proofErr w:type="gramStart"/>
      <w:r>
        <w:rPr>
          <w:color w:val="000000"/>
        </w:rPr>
        <w:t>kategóriái</w:t>
      </w:r>
      <w:proofErr w:type="gramEnd"/>
      <w:r>
        <w:rPr>
          <w:color w:val="000000"/>
        </w:rPr>
        <w:t>;</w:t>
      </w:r>
    </w:p>
    <w:p w:rsidR="00885A96" w:rsidRDefault="00885A96" w:rsidP="00885A96">
      <w:pPr>
        <w:widowControl w:val="0"/>
        <w:numPr>
          <w:ilvl w:val="0"/>
          <w:numId w:val="1"/>
        </w:numPr>
        <w:tabs>
          <w:tab w:val="left" w:pos="720"/>
        </w:tabs>
        <w:suppressAutoHyphens/>
        <w:spacing w:before="100" w:after="100"/>
        <w:jc w:val="both"/>
        <w:rPr>
          <w:color w:val="000000"/>
        </w:rPr>
      </w:pPr>
      <w:r>
        <w:rPr>
          <w:color w:val="000000"/>
        </w:rPr>
        <w:t xml:space="preserve">azon címzettek vagy címzettek </w:t>
      </w:r>
      <w:proofErr w:type="gramStart"/>
      <w:r>
        <w:rPr>
          <w:color w:val="000000"/>
        </w:rPr>
        <w:t>kategóriái</w:t>
      </w:r>
      <w:proofErr w:type="gramEnd"/>
      <w:r>
        <w:rPr>
          <w:color w:val="000000"/>
        </w:rPr>
        <w:t>, akikkel, illetve amelyekkel a személyes adatokat közölték vagy közölni fogják, ideértve különösen a harmadik országbeli címzetteket, illetve a nemzetközi szervezeteket;</w:t>
      </w:r>
    </w:p>
    <w:p w:rsidR="00885A96" w:rsidRDefault="00885A96" w:rsidP="00885A96">
      <w:pPr>
        <w:widowControl w:val="0"/>
        <w:numPr>
          <w:ilvl w:val="0"/>
          <w:numId w:val="1"/>
        </w:numPr>
        <w:tabs>
          <w:tab w:val="left" w:pos="720"/>
        </w:tabs>
        <w:suppressAutoHyphens/>
        <w:spacing w:before="100" w:after="100"/>
        <w:jc w:val="both"/>
        <w:rPr>
          <w:color w:val="000000"/>
        </w:rPr>
      </w:pPr>
      <w:r>
        <w:rPr>
          <w:color w:val="000000"/>
        </w:rPr>
        <w:t>adott esetben a személyes adatok tárolásának tervezett időtartama, vagy ha ez nem lehetséges, ezen időtartam meghatározásának szempontjai;</w:t>
      </w:r>
    </w:p>
    <w:p w:rsidR="00885A96" w:rsidRDefault="00885A96" w:rsidP="00885A96">
      <w:pPr>
        <w:widowControl w:val="0"/>
        <w:numPr>
          <w:ilvl w:val="0"/>
          <w:numId w:val="1"/>
        </w:numPr>
        <w:tabs>
          <w:tab w:val="left" w:pos="720"/>
        </w:tabs>
        <w:suppressAutoHyphens/>
        <w:spacing w:before="100" w:after="100"/>
        <w:jc w:val="both"/>
        <w:rPr>
          <w:color w:val="000000"/>
        </w:rPr>
      </w:pPr>
      <w:r>
        <w:rPr>
          <w:color w:val="000000"/>
        </w:rPr>
        <w:t>az érintett azon joga, hogy kérelmezheti az adatkezelőtől a rá vonatkozó személyes adatok helyesbítését, törlését vagy kezelésének korlátozását, és tiltakozhat az ilyen személyes adatok kezelése ellen;</w:t>
      </w:r>
    </w:p>
    <w:p w:rsidR="00885A96" w:rsidRDefault="00885A96" w:rsidP="00885A96">
      <w:pPr>
        <w:widowControl w:val="0"/>
        <w:numPr>
          <w:ilvl w:val="0"/>
          <w:numId w:val="1"/>
        </w:numPr>
        <w:tabs>
          <w:tab w:val="left" w:pos="720"/>
        </w:tabs>
        <w:suppressAutoHyphens/>
        <w:spacing w:before="100" w:after="100"/>
        <w:jc w:val="both"/>
        <w:rPr>
          <w:color w:val="000000"/>
        </w:rPr>
      </w:pPr>
      <w:r>
        <w:rPr>
          <w:color w:val="000000"/>
        </w:rPr>
        <w:t>a valamely felügyeleti hatósághoz címzett panasz benyújtásának joga;</w:t>
      </w:r>
    </w:p>
    <w:p w:rsidR="00885A96" w:rsidRDefault="00885A96" w:rsidP="00885A96">
      <w:pPr>
        <w:widowControl w:val="0"/>
        <w:numPr>
          <w:ilvl w:val="0"/>
          <w:numId w:val="1"/>
        </w:numPr>
        <w:tabs>
          <w:tab w:val="left" w:pos="720"/>
        </w:tabs>
        <w:suppressAutoHyphens/>
        <w:spacing w:before="100" w:after="100"/>
        <w:jc w:val="both"/>
        <w:rPr>
          <w:color w:val="000000"/>
        </w:rPr>
      </w:pPr>
      <w:r>
        <w:rPr>
          <w:color w:val="000000"/>
        </w:rPr>
        <w:t xml:space="preserve">ha az adatokat nem az </w:t>
      </w:r>
      <w:proofErr w:type="spellStart"/>
      <w:r>
        <w:rPr>
          <w:color w:val="000000"/>
        </w:rPr>
        <w:t>érintettől</w:t>
      </w:r>
      <w:proofErr w:type="spellEnd"/>
      <w:r>
        <w:rPr>
          <w:color w:val="000000"/>
        </w:rPr>
        <w:t xml:space="preserve"> gyűjtötték, a forrásukra vonatkozó minden elérhető </w:t>
      </w:r>
      <w:proofErr w:type="gramStart"/>
      <w:r>
        <w:rPr>
          <w:color w:val="000000"/>
        </w:rPr>
        <w:lastRenderedPageBreak/>
        <w:t>információ</w:t>
      </w:r>
      <w:proofErr w:type="gramEnd"/>
      <w:r>
        <w:rPr>
          <w:color w:val="000000"/>
        </w:rPr>
        <w:t>;</w:t>
      </w:r>
    </w:p>
    <w:p w:rsidR="00885A96" w:rsidRDefault="00885A96" w:rsidP="00885A96">
      <w:pPr>
        <w:widowControl w:val="0"/>
        <w:numPr>
          <w:ilvl w:val="0"/>
          <w:numId w:val="1"/>
        </w:numPr>
        <w:tabs>
          <w:tab w:val="left" w:pos="720"/>
        </w:tabs>
        <w:suppressAutoHyphens/>
        <w:spacing w:before="100" w:after="100"/>
        <w:jc w:val="both"/>
        <w:rPr>
          <w:color w:val="000000"/>
        </w:rPr>
      </w:pPr>
      <w:r>
        <w:rPr>
          <w:color w:val="000000"/>
        </w:rPr>
        <w:t xml:space="preserve">a GDPR 22. cikk (1) és (4) bekezdésében említett automatizált döntéshozatal ténye, ideértve a profilalkotást is, valamint legalább ezekben az esetekben az alkalmazott logikára és arra vonatkozó érthető </w:t>
      </w:r>
      <w:proofErr w:type="gramStart"/>
      <w:r>
        <w:rPr>
          <w:color w:val="000000"/>
        </w:rPr>
        <w:t>információk</w:t>
      </w:r>
      <w:proofErr w:type="gramEnd"/>
      <w:r>
        <w:rPr>
          <w:color w:val="000000"/>
        </w:rPr>
        <w:t>, hogy az ilyen adatkezelés milyen jelentőséggel bír, és az érintettre nézve milyen várható következményekkel jár.</w:t>
      </w:r>
    </w:p>
    <w:p w:rsidR="00885A96" w:rsidRDefault="00885A96" w:rsidP="00885A96">
      <w:pPr>
        <w:spacing w:before="100" w:after="100"/>
        <w:jc w:val="both"/>
        <w:rPr>
          <w:color w:val="000000"/>
        </w:rPr>
      </w:pPr>
      <w:r>
        <w:rPr>
          <w:color w:val="000000"/>
        </w:rPr>
        <w:t xml:space="preserve">Amennyiben az érintett saját személyes adatairól másolatot kér, az adatkezelő azt az érintett rendelkezésére bocsátja. </w:t>
      </w:r>
    </w:p>
    <w:p w:rsidR="00885A96" w:rsidRDefault="00885A96" w:rsidP="00885A96">
      <w:pPr>
        <w:spacing w:before="100" w:after="100"/>
        <w:jc w:val="both"/>
        <w:rPr>
          <w:color w:val="000000"/>
        </w:rPr>
      </w:pPr>
      <w:r>
        <w:rPr>
          <w:color w:val="000000"/>
        </w:rPr>
        <w:t>Az érintett által kért további másolatokért az Intézmény a közérdekűadat-megismerési igényekre vonatkozó költségtérítési szabályok szerint díjat számolhat fel. A költségtérítés lehetséges mértékéről az adatkezelő a kapcsolatfelvételkor tájékoztatást ad.</w:t>
      </w:r>
    </w:p>
    <w:p w:rsidR="00885A96" w:rsidRDefault="00885A96" w:rsidP="00885A96">
      <w:pPr>
        <w:spacing w:before="100" w:after="100"/>
        <w:jc w:val="both"/>
        <w:rPr>
          <w:color w:val="000000"/>
        </w:rPr>
      </w:pPr>
      <w:r>
        <w:rPr>
          <w:color w:val="000000"/>
        </w:rPr>
        <w:t xml:space="preserve">Ha az érintett elektronikus úton nyújtotta be a kérelmet, az </w:t>
      </w:r>
      <w:proofErr w:type="gramStart"/>
      <w:r>
        <w:rPr>
          <w:color w:val="000000"/>
        </w:rPr>
        <w:t>információkat</w:t>
      </w:r>
      <w:proofErr w:type="gramEnd"/>
      <w:r>
        <w:rPr>
          <w:color w:val="000000"/>
        </w:rPr>
        <w:t xml:space="preserve"> az Intézmény elektronikus formátumban bocsátja rendelkezésére, kivéve, ha azokat más formátumban kéri.</w:t>
      </w:r>
    </w:p>
    <w:p w:rsidR="00885A96" w:rsidRDefault="00885A96" w:rsidP="00885A96">
      <w:pPr>
        <w:spacing w:before="100" w:after="100"/>
        <w:jc w:val="both"/>
        <w:rPr>
          <w:color w:val="000000"/>
        </w:rPr>
      </w:pPr>
      <w:r>
        <w:rPr>
          <w:color w:val="000000"/>
        </w:rPr>
        <w:t>A másolat igénylésére vonatkozó jog nem érintheti hátrányosan mások jogait és szabadságait, így például mások személyes adata nem igényelhető.</w:t>
      </w:r>
    </w:p>
    <w:p w:rsidR="00885A96" w:rsidRDefault="00885A96" w:rsidP="00885A96">
      <w:pPr>
        <w:jc w:val="both"/>
        <w:rPr>
          <w:color w:val="000000"/>
        </w:rPr>
      </w:pPr>
    </w:p>
    <w:p w:rsidR="00885A96" w:rsidRDefault="00885A96" w:rsidP="00885A96">
      <w:pPr>
        <w:jc w:val="both"/>
        <w:rPr>
          <w:color w:val="000000"/>
        </w:rPr>
      </w:pPr>
      <w:r>
        <w:rPr>
          <w:b/>
          <w:bCs/>
          <w:color w:val="000000"/>
        </w:rPr>
        <w:t>Helyesbítés:</w:t>
      </w:r>
      <w:r>
        <w:rPr>
          <w:color w:val="000000"/>
        </w:rPr>
        <w:t xml:space="preserve"> 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 Ezen jog gyakorlása csupán a valótlan adatokra irányulhat (pl. műszaki hiba, idő téves rögzítése a felvételen).</w:t>
      </w:r>
    </w:p>
    <w:p w:rsidR="00885A96" w:rsidRDefault="00885A96" w:rsidP="00885A96">
      <w:pPr>
        <w:jc w:val="both"/>
        <w:rPr>
          <w:color w:val="000000"/>
        </w:rPr>
      </w:pPr>
    </w:p>
    <w:p w:rsidR="00885A96" w:rsidRDefault="00885A96" w:rsidP="00885A96">
      <w:pPr>
        <w:jc w:val="both"/>
        <w:rPr>
          <w:color w:val="000000"/>
        </w:rPr>
      </w:pPr>
      <w:r>
        <w:rPr>
          <w:b/>
          <w:bCs/>
          <w:color w:val="000000"/>
        </w:rPr>
        <w:t xml:space="preserve">Törlés: </w:t>
      </w:r>
      <w:r>
        <w:rPr>
          <w:color w:val="000000"/>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 cikk (1) bekezdésében felsorolt indokok valamelyike fennáll.</w:t>
      </w:r>
    </w:p>
    <w:p w:rsidR="00885A96" w:rsidRDefault="00885A96" w:rsidP="00885A96">
      <w:pPr>
        <w:jc w:val="both"/>
        <w:rPr>
          <w:color w:val="000000"/>
        </w:rPr>
      </w:pPr>
    </w:p>
    <w:p w:rsidR="00885A96" w:rsidRDefault="00885A96" w:rsidP="00885A96">
      <w:pPr>
        <w:jc w:val="both"/>
        <w:rPr>
          <w:color w:val="000000"/>
        </w:rPr>
      </w:pPr>
      <w:r>
        <w:rPr>
          <w:color w:val="000000"/>
        </w:rPr>
        <w:t>A személyes adatok törléséhez való jog a tájékoztatóban szereplő adatok tekintetében a GDPR 17. cikke (3) bekezdésének b) pontja alapján a jogi kötelezettség teljesítéséhez vagy közérdekű jogosítvány gyakorlásának keretében végzett feladat végrehajtásához szükséges adatkezelések tekintetében nem alkalmazandó.</w:t>
      </w:r>
    </w:p>
    <w:p w:rsidR="00885A96" w:rsidRDefault="00885A96" w:rsidP="00885A96">
      <w:pPr>
        <w:jc w:val="both"/>
        <w:rPr>
          <w:color w:val="000000"/>
        </w:rPr>
      </w:pPr>
    </w:p>
    <w:p w:rsidR="00885A96" w:rsidRDefault="00885A96" w:rsidP="00885A96">
      <w:pPr>
        <w:jc w:val="both"/>
        <w:rPr>
          <w:color w:val="000000"/>
        </w:rPr>
      </w:pPr>
      <w:r>
        <w:rPr>
          <w:color w:val="000000"/>
        </w:rPr>
        <w:t>- a személyes adatok az adatkezelési célhoz nem szükségesek,</w:t>
      </w:r>
    </w:p>
    <w:p w:rsidR="00885A96" w:rsidRDefault="00885A96" w:rsidP="00885A96">
      <w:pPr>
        <w:jc w:val="both"/>
        <w:rPr>
          <w:color w:val="000000"/>
        </w:rPr>
      </w:pPr>
      <w:r>
        <w:rPr>
          <w:color w:val="000000"/>
        </w:rPr>
        <w:t>- az érintett tiltakozik az adatkezelés ellen és nincs elsőbbséget élvező jogszerű ok az adatkezelésre,</w:t>
      </w:r>
    </w:p>
    <w:p w:rsidR="00885A96" w:rsidRDefault="00885A96" w:rsidP="00885A96">
      <w:pPr>
        <w:jc w:val="both"/>
        <w:rPr>
          <w:color w:val="000000"/>
        </w:rPr>
      </w:pPr>
      <w:r>
        <w:rPr>
          <w:color w:val="000000"/>
        </w:rPr>
        <w:t>- a személyes adatok kezelése jogellenes,</w:t>
      </w:r>
    </w:p>
    <w:p w:rsidR="00885A96" w:rsidRDefault="00885A96" w:rsidP="00885A96">
      <w:pPr>
        <w:jc w:val="both"/>
        <w:rPr>
          <w:color w:val="000000"/>
        </w:rPr>
      </w:pPr>
      <w:r>
        <w:rPr>
          <w:color w:val="000000"/>
        </w:rPr>
        <w:t>- a személyes adatokat az adatkezelőre alkalmazandó uniós vagy tagállami jogban előírt jogi kötelezettség teljesítéséhez törölni kell.</w:t>
      </w:r>
    </w:p>
    <w:p w:rsidR="00885A96" w:rsidRDefault="00885A96" w:rsidP="00885A96">
      <w:pPr>
        <w:jc w:val="both"/>
        <w:rPr>
          <w:color w:val="000000"/>
        </w:rPr>
      </w:pPr>
    </w:p>
    <w:p w:rsidR="00885A96" w:rsidRDefault="00885A96" w:rsidP="00885A96">
      <w:pPr>
        <w:jc w:val="both"/>
        <w:rPr>
          <w:color w:val="000000"/>
        </w:rPr>
      </w:pPr>
      <w:r>
        <w:rPr>
          <w:b/>
          <w:bCs/>
          <w:color w:val="000000"/>
        </w:rPr>
        <w:t>Adatkezelés korlátozása:</w:t>
      </w:r>
      <w:r>
        <w:rPr>
          <w:color w:val="000000"/>
        </w:rPr>
        <w:t xml:space="preserve"> 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885A96" w:rsidRDefault="00885A96" w:rsidP="00885A96">
      <w:pPr>
        <w:spacing w:before="100" w:after="100"/>
        <w:jc w:val="both"/>
        <w:rPr>
          <w:color w:val="000000"/>
        </w:rPr>
      </w:pPr>
      <w:r>
        <w:rPr>
          <w:color w:val="000000"/>
        </w:rPr>
        <w:t>Az érintett az alábbi esetekben jogosult arra, hogy kérésére az adatkezelő korlátozza az adatkezelést:</w:t>
      </w:r>
    </w:p>
    <w:p w:rsidR="00885A96" w:rsidRDefault="00885A96" w:rsidP="00885A96">
      <w:pPr>
        <w:widowControl w:val="0"/>
        <w:numPr>
          <w:ilvl w:val="0"/>
          <w:numId w:val="1"/>
        </w:numPr>
        <w:tabs>
          <w:tab w:val="left" w:pos="720"/>
        </w:tabs>
        <w:suppressAutoHyphens/>
        <w:spacing w:before="100" w:after="100"/>
        <w:jc w:val="both"/>
        <w:rPr>
          <w:color w:val="000000"/>
        </w:rPr>
      </w:pPr>
      <w:r>
        <w:rPr>
          <w:color w:val="000000"/>
        </w:rPr>
        <w:t xml:space="preserve">az érintett vitatja a személyes adatok pontosságát, ez esetben a korlátozás arra az időtartamra vonatkozik, amely lehetővé teszi, hogy az adatkezelő ellenőrizze a </w:t>
      </w:r>
      <w:r>
        <w:rPr>
          <w:color w:val="000000"/>
        </w:rPr>
        <w:lastRenderedPageBreak/>
        <w:t>személyes adatok pontosságát;</w:t>
      </w:r>
    </w:p>
    <w:p w:rsidR="00885A96" w:rsidRDefault="00885A96" w:rsidP="00885A96">
      <w:pPr>
        <w:widowControl w:val="0"/>
        <w:numPr>
          <w:ilvl w:val="0"/>
          <w:numId w:val="1"/>
        </w:numPr>
        <w:tabs>
          <w:tab w:val="left" w:pos="720"/>
        </w:tabs>
        <w:suppressAutoHyphens/>
        <w:spacing w:before="100" w:after="100"/>
        <w:jc w:val="both"/>
        <w:rPr>
          <w:color w:val="000000"/>
        </w:rPr>
      </w:pPr>
      <w:r>
        <w:rPr>
          <w:color w:val="000000"/>
        </w:rPr>
        <w:t xml:space="preserve">az adatkezelés jogellenes, és az érintett </w:t>
      </w:r>
      <w:proofErr w:type="spellStart"/>
      <w:r>
        <w:rPr>
          <w:color w:val="000000"/>
        </w:rPr>
        <w:t>ellenzi</w:t>
      </w:r>
      <w:proofErr w:type="spellEnd"/>
      <w:r>
        <w:rPr>
          <w:color w:val="000000"/>
        </w:rPr>
        <w:t xml:space="preserve"> az adatok törlését, és </w:t>
      </w:r>
      <w:proofErr w:type="gramStart"/>
      <w:r>
        <w:rPr>
          <w:color w:val="000000"/>
        </w:rPr>
        <w:t>ehelyett</w:t>
      </w:r>
      <w:proofErr w:type="gramEnd"/>
      <w:r>
        <w:rPr>
          <w:color w:val="000000"/>
        </w:rPr>
        <w:t xml:space="preserve"> kéri azok felhasználásának korlátozását;</w:t>
      </w:r>
    </w:p>
    <w:p w:rsidR="00885A96" w:rsidRDefault="00885A96" w:rsidP="00885A96">
      <w:pPr>
        <w:widowControl w:val="0"/>
        <w:numPr>
          <w:ilvl w:val="0"/>
          <w:numId w:val="1"/>
        </w:numPr>
        <w:tabs>
          <w:tab w:val="left" w:pos="720"/>
        </w:tabs>
        <w:suppressAutoHyphens/>
        <w:spacing w:before="100" w:after="100"/>
        <w:jc w:val="both"/>
        <w:rPr>
          <w:color w:val="000000"/>
        </w:rPr>
      </w:pPr>
      <w:r>
        <w:rPr>
          <w:color w:val="000000"/>
        </w:rPr>
        <w:t>az adatkezelőnek már nincs szüksége a személyes adatokra adatkezelés céljából, de az érintett igényli azokat jogi igények előterjesztéséhez, érvényesítéséhez vagy védelméhez.</w:t>
      </w:r>
    </w:p>
    <w:p w:rsidR="00885A96" w:rsidRDefault="00885A96" w:rsidP="00885A96">
      <w:pPr>
        <w:jc w:val="both"/>
        <w:rPr>
          <w:color w:val="000000"/>
        </w:rPr>
      </w:pPr>
    </w:p>
    <w:p w:rsidR="00885A96" w:rsidRDefault="00885A96" w:rsidP="00885A96">
      <w:pPr>
        <w:jc w:val="both"/>
        <w:rPr>
          <w:color w:val="000000"/>
        </w:rPr>
      </w:pPr>
      <w:r>
        <w:rPr>
          <w:b/>
          <w:bCs/>
          <w:color w:val="000000"/>
        </w:rPr>
        <w:t xml:space="preserve">Adatkezelés elleni tiltakozás: </w:t>
      </w:r>
      <w:r>
        <w:rPr>
          <w:color w:val="000000"/>
        </w:rPr>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885A96" w:rsidRDefault="00885A96" w:rsidP="00885A96">
      <w:pPr>
        <w:jc w:val="both"/>
        <w:rPr>
          <w:color w:val="000000"/>
        </w:rPr>
      </w:pPr>
    </w:p>
    <w:p w:rsidR="00885A96" w:rsidRDefault="00885A96" w:rsidP="00885A96">
      <w:pPr>
        <w:jc w:val="both"/>
        <w:rPr>
          <w:color w:val="000000"/>
        </w:rPr>
      </w:pPr>
      <w:r>
        <w:rPr>
          <w:color w:val="000000"/>
        </w:rPr>
        <w:t>Ha úgy gondolja, hogy az adatkezelés során sérelem érte, annak tényét az adatvédelmi tisztviselő felé jelezheti.</w:t>
      </w:r>
    </w:p>
    <w:p w:rsidR="00885A96" w:rsidRDefault="00885A96" w:rsidP="00885A96">
      <w:pPr>
        <w:jc w:val="both"/>
        <w:rPr>
          <w:color w:val="000000"/>
        </w:rPr>
      </w:pPr>
    </w:p>
    <w:p w:rsidR="00885A96" w:rsidRDefault="00885A96" w:rsidP="00885A96">
      <w:pPr>
        <w:jc w:val="both"/>
        <w:rPr>
          <w:color w:val="000000"/>
        </w:rPr>
      </w:pPr>
      <w:r>
        <w:rPr>
          <w:color w:val="000000"/>
        </w:rPr>
        <w:t xml:space="preserve">Amennyiben a megkeresés nem vezetett eredményre, az érintett </w:t>
      </w:r>
      <w:proofErr w:type="spellStart"/>
      <w:r>
        <w:rPr>
          <w:color w:val="000000"/>
        </w:rPr>
        <w:t>Infotv</w:t>
      </w:r>
      <w:proofErr w:type="spellEnd"/>
      <w:r>
        <w:rPr>
          <w:color w:val="000000"/>
        </w:rPr>
        <w:t xml:space="preserve">. 52. § alapján a Nemzeti Adatvédelmi és Információszabadság Hatóságnál bejelentést tehet, továbbá az </w:t>
      </w:r>
      <w:proofErr w:type="spellStart"/>
      <w:r>
        <w:rPr>
          <w:color w:val="000000"/>
        </w:rPr>
        <w:t>Infotv</w:t>
      </w:r>
      <w:proofErr w:type="spellEnd"/>
      <w:r>
        <w:rPr>
          <w:color w:val="000000"/>
        </w:rPr>
        <w:t xml:space="preserve">. 22. § szerint, valamint a polgári törvénykönyvről szóló 2013. évi V. törvény Második Könyvének III. része alapján </w:t>
      </w:r>
      <w:r>
        <w:t xml:space="preserve">akár a lakóhelye szerint illetékes törvényszékhez is </w:t>
      </w:r>
      <w:r>
        <w:rPr>
          <w:color w:val="000000"/>
        </w:rPr>
        <w:t>fordulhat.</w:t>
      </w:r>
    </w:p>
    <w:p w:rsidR="00885A96" w:rsidRDefault="00885A96" w:rsidP="00885A96">
      <w:pPr>
        <w:spacing w:line="360" w:lineRule="auto"/>
        <w:jc w:val="both"/>
        <w:rPr>
          <w:color w:val="000000"/>
        </w:rPr>
      </w:pPr>
    </w:p>
    <w:p w:rsidR="00885A96" w:rsidRDefault="00885A96" w:rsidP="00885A96">
      <w:pPr>
        <w:spacing w:line="360" w:lineRule="auto"/>
        <w:jc w:val="both"/>
        <w:rPr>
          <w:color w:val="000000"/>
        </w:rPr>
      </w:pPr>
      <w:r>
        <w:rPr>
          <w:color w:val="000000"/>
        </w:rPr>
        <w:t>A Nemzeti Adatvédelmi és Információszabadság Hatóság elérhetősége:</w:t>
      </w:r>
    </w:p>
    <w:p w:rsidR="00885A96" w:rsidRDefault="00885A96" w:rsidP="00885A96">
      <w:pPr>
        <w:shd w:val="clear" w:color="auto" w:fill="FFFFFF"/>
        <w:tabs>
          <w:tab w:val="left" w:pos="993"/>
        </w:tabs>
        <w:ind w:left="284"/>
        <w:jc w:val="both"/>
      </w:pPr>
      <w:r w:rsidRPr="00C36E6F">
        <w:t xml:space="preserve">Postacím: </w:t>
      </w:r>
      <w:r>
        <w:rPr>
          <w:rStyle w:val="cf3fs22ff2"/>
          <w:bCs/>
        </w:rPr>
        <w:t>1363</w:t>
      </w:r>
      <w:r w:rsidRPr="00C36E6F">
        <w:rPr>
          <w:rStyle w:val="cf3fs22ff2"/>
          <w:bCs/>
        </w:rPr>
        <w:t xml:space="preserve"> Budapest, Pf. </w:t>
      </w:r>
      <w:r>
        <w:rPr>
          <w:rStyle w:val="cf3fs22ff2"/>
          <w:bCs/>
        </w:rPr>
        <w:t>9</w:t>
      </w:r>
      <w:r w:rsidRPr="00C36E6F">
        <w:rPr>
          <w:rStyle w:val="cf3fs22ff2"/>
          <w:bCs/>
        </w:rPr>
        <w:t>.</w:t>
      </w:r>
    </w:p>
    <w:p w:rsidR="00885A96" w:rsidRDefault="00885A96" w:rsidP="00885A96">
      <w:pPr>
        <w:shd w:val="clear" w:color="auto" w:fill="FFFFFF"/>
        <w:tabs>
          <w:tab w:val="left" w:pos="993"/>
        </w:tabs>
        <w:ind w:left="284"/>
        <w:jc w:val="both"/>
      </w:pPr>
      <w:r>
        <w:rPr>
          <w:color w:val="000000"/>
        </w:rPr>
        <w:t>Telefon: +36 (1) 391-1400</w:t>
      </w:r>
    </w:p>
    <w:p w:rsidR="00885A96" w:rsidRPr="00F17EBA" w:rsidRDefault="00885A96" w:rsidP="00885A96">
      <w:pPr>
        <w:shd w:val="clear" w:color="auto" w:fill="FFFFFF"/>
        <w:tabs>
          <w:tab w:val="left" w:pos="993"/>
        </w:tabs>
        <w:ind w:left="284"/>
        <w:jc w:val="both"/>
      </w:pPr>
      <w:r>
        <w:rPr>
          <w:color w:val="000000"/>
        </w:rPr>
        <w:t>Elektronikus postacím: ugyfelszolgalat@naih.hu</w:t>
      </w:r>
    </w:p>
    <w:p w:rsidR="00885A96" w:rsidRPr="00C36E6F" w:rsidRDefault="00885A96" w:rsidP="00885A96">
      <w:pPr>
        <w:shd w:val="clear" w:color="auto" w:fill="FFFFFF"/>
        <w:tabs>
          <w:tab w:val="left" w:pos="993"/>
        </w:tabs>
        <w:ind w:left="284"/>
        <w:jc w:val="both"/>
      </w:pPr>
      <w:r w:rsidRPr="00C36E6F">
        <w:t xml:space="preserve">Honlap: </w:t>
      </w:r>
      <w:hyperlink r:id="rId11" w:history="1">
        <w:r w:rsidRPr="00C36E6F">
          <w:rPr>
            <w:u w:val="single"/>
          </w:rPr>
          <w:t>www.naih.hu</w:t>
        </w:r>
      </w:hyperlink>
    </w:p>
    <w:p w:rsidR="00885A96" w:rsidRDefault="00885A96" w:rsidP="00885A96">
      <w:pPr>
        <w:rPr>
          <w:b/>
          <w:bCs/>
        </w:rPr>
      </w:pPr>
    </w:p>
    <w:p w:rsidR="00423980" w:rsidRDefault="00423980"/>
    <w:sectPr w:rsidR="00423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62"/>
    <w:rsid w:val="001A78C5"/>
    <w:rsid w:val="00410EF0"/>
    <w:rsid w:val="00423980"/>
    <w:rsid w:val="00885A96"/>
    <w:rsid w:val="00EE59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4C71"/>
  <w15:chartTrackingRefBased/>
  <w15:docId w15:val="{5BB13313-C2F7-4B99-A42B-87A3203C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E596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EE5962"/>
    <w:rPr>
      <w:color w:val="0000FF"/>
      <w:u w:val="single"/>
    </w:rPr>
  </w:style>
  <w:style w:type="character" w:customStyle="1" w:styleId="Hyperlink0">
    <w:name w:val="Hyperlink.0"/>
    <w:basedOn w:val="Bekezdsalapbettpusa"/>
    <w:rsid w:val="00EE5962"/>
    <w:rPr>
      <w:rFonts w:ascii="Times New Roman" w:hAnsi="Times New Roman" w:cs="Times New Roman" w:hint="default"/>
      <w:sz w:val="24"/>
      <w:szCs w:val="24"/>
    </w:rPr>
  </w:style>
  <w:style w:type="character" w:customStyle="1" w:styleId="cf3fs22ff2">
    <w:name w:val="cf3 fs22 ff2"/>
    <w:basedOn w:val="Bekezdsalapbettpusa"/>
    <w:rsid w:val="00EE5962"/>
  </w:style>
  <w:style w:type="character" w:customStyle="1" w:styleId="cjsz">
    <w:name w:val="cjsz"/>
    <w:basedOn w:val="Bekezdsalapbettpusa"/>
    <w:rsid w:val="00EE5962"/>
  </w:style>
  <w:style w:type="paragraph" w:styleId="NormlWeb">
    <w:name w:val="Normal (Web)"/>
    <w:basedOn w:val="Norml"/>
    <w:uiPriority w:val="99"/>
    <w:unhideWhenUsed/>
    <w:rsid w:val="00885A96"/>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dprofessionals.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dprofessionals.hu/kapcso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karsag@nyarypaliskola.hu" TargetMode="External"/><Relationship Id="rId11" Type="http://schemas.openxmlformats.org/officeDocument/2006/relationships/hyperlink" Target="http://www.naih.hu/" TargetMode="External"/><Relationship Id="rId5" Type="http://schemas.openxmlformats.org/officeDocument/2006/relationships/hyperlink" Target="mailto:titkarsag@nyarypaliskola.hu"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8028</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BM OKF</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Kozma Gergely Dr.</dc:creator>
  <cp:keywords/>
  <dc:description/>
  <cp:lastModifiedBy>Titkarsag</cp:lastModifiedBy>
  <cp:revision>2</cp:revision>
  <dcterms:created xsi:type="dcterms:W3CDTF">2023-09-11T09:00:00Z</dcterms:created>
  <dcterms:modified xsi:type="dcterms:W3CDTF">2023-09-11T09:00:00Z</dcterms:modified>
</cp:coreProperties>
</file>